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dn1wu2k0uxlf" w:id="0"/>
      <w:bookmarkEnd w:id="0"/>
      <w:r w:rsidDel="00000000" w:rsidR="00000000" w:rsidRPr="00000000">
        <w:rPr>
          <w:b w:val="1"/>
          <w:rtl w:val="0"/>
        </w:rPr>
        <w:t xml:space="preserve">Negara-negara berkembang menghadapi risiko pengecualian seiring dengan munculnya 'era AI'</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b w:val="1"/>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b w:val="1"/>
          <w:i w:val="1"/>
          <w:color w:val="241f21"/>
          <w:sz w:val="24"/>
          <w:szCs w:val="24"/>
          <w:highlight w:val="white"/>
        </w:rPr>
      </w:pPr>
      <w:r w:rsidDel="00000000" w:rsidR="00000000" w:rsidRPr="00000000">
        <w:rPr>
          <w:rFonts w:ascii="Lora" w:cs="Lora" w:eastAsia="Lora" w:hAnsi="Lora"/>
          <w:b w:val="1"/>
          <w:i w:val="1"/>
          <w:color w:val="241f21"/>
          <w:sz w:val="24"/>
          <w:szCs w:val="24"/>
          <w:highlight w:val="white"/>
          <w:rtl w:val="0"/>
        </w:rPr>
        <w:t xml:space="preserve">Kecerdasan buatan akan menjadi industri bernilai triliunan dolar pada tahun 2030, tetapi negara berkembang berisiko tertinggal jika tidak ada perubahan yang dilakukan.</w:t>
      </w:r>
    </w:p>
    <w:p w:rsidR="00000000" w:rsidDel="00000000" w:rsidP="00000000" w:rsidRDefault="00000000" w:rsidRPr="00000000" w14:paraId="00000005">
      <w:pPr>
        <w:spacing w:line="240" w:lineRule="auto"/>
        <w:rPr>
          <w:rFonts w:ascii="Roboto Condensed" w:cs="Roboto Condensed" w:eastAsia="Roboto Condensed" w:hAnsi="Roboto Condensed"/>
          <w:color w:val="666666"/>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AS dan Tiongkok menyumbang lebih dari 94 persen pendanaan untuk perusahaan rintisan AI selama lima tahun terakhir, dan separuh dari pusat data hyperscale dunia: Michael Joiner, 360info</w:t>
      </w:r>
    </w:p>
    <w:p w:rsidR="00000000" w:rsidDel="00000000" w:rsidP="00000000" w:rsidRDefault="00000000" w:rsidRPr="00000000" w14:paraId="00000007">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8">
      <w:pPr>
        <w:spacing w:line="240" w:lineRule="auto"/>
        <w:jc w:val="center"/>
        <w:rPr>
          <w:b w:val="1"/>
        </w:rPr>
      </w:pPr>
      <w:r w:rsidDel="00000000" w:rsidR="00000000" w:rsidRPr="00000000">
        <w:rPr/>
        <w:drawing>
          <wp:inline distB="0" distT="0" distL="0" distR="0">
            <wp:extent cx="2739390" cy="1597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39390" cy="15970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40" w:lineRule="auto"/>
        <w:jc w:val="center"/>
        <w:rPr>
          <w:rFonts w:ascii="Roboto Condensed" w:cs="Roboto Condensed" w:eastAsia="Roboto Condensed" w:hAnsi="Roboto Condensed"/>
          <w:color w:val="666666"/>
          <w:sz w:val="18"/>
          <w:szCs w:val="18"/>
          <w:highlight w:val="white"/>
        </w:rPr>
      </w:pPr>
      <w:r w:rsidDel="00000000" w:rsidR="00000000" w:rsidRPr="00000000">
        <w:rPr>
          <w:rFonts w:ascii="Roboto Condensed" w:cs="Roboto Condensed" w:eastAsia="Roboto Condensed" w:hAnsi="Roboto Condensed"/>
          <w:color w:val="666666"/>
          <w:sz w:val="18"/>
          <w:szCs w:val="18"/>
          <w:highlight w:val="white"/>
          <w:rtl w:val="0"/>
        </w:rPr>
        <w:t xml:space="preserve">Published on May 16, 2022</w:t>
      </w:r>
    </w:p>
    <w:p w:rsidR="00000000" w:rsidDel="00000000" w:rsidP="00000000" w:rsidRDefault="00000000" w:rsidRPr="00000000" w14:paraId="0000000A">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Merih Angin</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Koç University</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Jack Loveridge</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Koç University</w:t>
      </w:r>
    </w:p>
    <w:p w:rsidR="00000000" w:rsidDel="00000000" w:rsidP="00000000" w:rsidRDefault="00000000" w:rsidRPr="00000000" w14:paraId="0000000F">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10">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Reece Hooker</w:t>
      </w:r>
    </w:p>
    <w:p w:rsidR="00000000" w:rsidDel="00000000" w:rsidP="00000000" w:rsidRDefault="00000000" w:rsidRPr="00000000" w14:paraId="00000011">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Reece Hooker, Assistant Producer, 360info Asia Pacific</w:t>
      </w:r>
    </w:p>
    <w:p w:rsidR="00000000" w:rsidDel="00000000" w:rsidP="00000000" w:rsidRDefault="00000000" w:rsidRPr="00000000" w14:paraId="00000012">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Tasha Wibawa</w:t>
      </w:r>
    </w:p>
    <w:p w:rsidR="00000000" w:rsidDel="00000000" w:rsidP="00000000" w:rsidRDefault="00000000" w:rsidRPr="00000000" w14:paraId="00000013">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Tasha Wibawa, Commissioning Editor, 360info Asia Pacific</w:t>
      </w:r>
    </w:p>
    <w:p w:rsidR="00000000" w:rsidDel="00000000" w:rsidP="00000000" w:rsidRDefault="00000000" w:rsidRPr="00000000" w14:paraId="00000014">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5">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10.54377/0130-e781</w:t>
      </w:r>
      <w:r w:rsidDel="00000000" w:rsidR="00000000" w:rsidRPr="00000000">
        <w:rPr>
          <w:rtl w:val="0"/>
        </w:rPr>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Diperkirakan kecerdasan buatan (AI) </w:t>
      </w:r>
      <w:hyperlink r:id="rId7">
        <w:r w:rsidDel="00000000" w:rsidR="00000000" w:rsidRPr="00000000">
          <w:rPr>
            <w:rFonts w:ascii="Lora" w:cs="Lora" w:eastAsia="Lora" w:hAnsi="Lora"/>
            <w:color w:val="0563c1"/>
            <w:sz w:val="24"/>
            <w:szCs w:val="24"/>
            <w:u w:val="single"/>
            <w:rtl w:val="0"/>
          </w:rPr>
          <w:t xml:space="preserve">akan menambah nilai ekonomi global sebesar US$15,7 triliun pada tahun 2030</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Apabila tren saat ini terus berlanjut, sebagian besar kekayaan baru ini akan dimiliki dan dikendalikan oleh perusahaan dan individu yang berbasis di Tiongkok dan Amerika Serikat, serta oleh pemerintah nasional yang mewakilinya. Akan tetapi, superioritas teknologi oleh negara-negara besar merusak potensi positif AI bagi sebagian besar populasi dunia, terutama di negara-negara berkembang.</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AS dan Tiongkok menyumbang lebih dari </w:t>
      </w:r>
      <w:hyperlink r:id="rId8">
        <w:r w:rsidDel="00000000" w:rsidR="00000000" w:rsidRPr="00000000">
          <w:rPr>
            <w:rFonts w:ascii="Lora" w:cs="Lora" w:eastAsia="Lora" w:hAnsi="Lora"/>
            <w:color w:val="0563c1"/>
            <w:sz w:val="24"/>
            <w:szCs w:val="24"/>
            <w:u w:val="single"/>
            <w:rtl w:val="0"/>
          </w:rPr>
          <w:t xml:space="preserve">94 persen pendanaan untuk perusahaan rintisan AI selama lima tahun terakhir, dan setengah dari pusat data hiperskala dunia</w:t>
        </w:r>
      </w:hyperlink>
      <w:r w:rsidDel="00000000" w:rsidR="00000000" w:rsidRPr="00000000">
        <w:rPr>
          <w:rFonts w:ascii="Lora" w:cs="Lora" w:eastAsia="Lora" w:hAnsi="Lora"/>
          <w:sz w:val="24"/>
          <w:szCs w:val="24"/>
          <w:rtl w:val="0"/>
        </w:rPr>
        <w:t xml:space="preserve">. Kedua negara ini memiliki sekitar 90 persen kapitalisasi pasar dari 70 platform digital terbesar di dunia, dan </w:t>
      </w:r>
      <w:hyperlink r:id="rId9">
        <w:r w:rsidDel="00000000" w:rsidR="00000000" w:rsidRPr="00000000">
          <w:rPr>
            <w:rFonts w:ascii="Lora" w:cs="Lora" w:eastAsia="Lora" w:hAnsi="Lora"/>
            <w:color w:val="0563c1"/>
            <w:sz w:val="24"/>
            <w:szCs w:val="24"/>
            <w:u w:val="single"/>
            <w:rtl w:val="0"/>
          </w:rPr>
          <w:t xml:space="preserve">mengendalikan sebagian besar arus data lintas batas</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Bersama dengan sekutu mereka, negara-negara yang memiliki dan mengendalikan platform AI dan data yang mendukungnya akan </w:t>
      </w:r>
      <w:hyperlink r:id="rId10">
        <w:r w:rsidDel="00000000" w:rsidR="00000000" w:rsidRPr="00000000">
          <w:rPr>
            <w:rFonts w:ascii="Lora" w:cs="Lora" w:eastAsia="Lora" w:hAnsi="Lora"/>
            <w:color w:val="0563c1"/>
            <w:sz w:val="24"/>
            <w:szCs w:val="24"/>
            <w:u w:val="single"/>
            <w:rtl w:val="0"/>
          </w:rPr>
          <w:t xml:space="preserve">mendominasi ekonomi global selama beberapa dekade mendatang</w:t>
        </w:r>
      </w:hyperlink>
      <w:r w:rsidDel="00000000" w:rsidR="00000000" w:rsidRPr="00000000">
        <w:rPr>
          <w:rFonts w:ascii="Lora" w:cs="Lora" w:eastAsia="Lora" w:hAnsi="Lora"/>
          <w:sz w:val="24"/>
          <w:szCs w:val="24"/>
          <w:rtl w:val="0"/>
        </w:rPr>
        <w:t xml:space="preserve">. Para ahli di bidang ini juga sebagian besar berasal dari negara maju. Mereka menikmati </w:t>
      </w:r>
      <w:hyperlink r:id="rId11">
        <w:r w:rsidDel="00000000" w:rsidR="00000000" w:rsidRPr="00000000">
          <w:rPr>
            <w:rFonts w:ascii="Lora" w:cs="Lora" w:eastAsia="Lora" w:hAnsi="Lora"/>
            <w:color w:val="0563c1"/>
            <w:sz w:val="24"/>
            <w:szCs w:val="24"/>
            <w:u w:val="single"/>
            <w:rtl w:val="0"/>
          </w:rPr>
          <w:t xml:space="preserve">representasi yang tidak proporsional dalam badan-badan industri</w:t>
        </w:r>
      </w:hyperlink>
      <w:r w:rsidDel="00000000" w:rsidR="00000000" w:rsidRPr="00000000">
        <w:rPr>
          <w:rFonts w:ascii="Lora" w:cs="Lora" w:eastAsia="Lora" w:hAnsi="Lora"/>
          <w:sz w:val="24"/>
          <w:szCs w:val="24"/>
          <w:rtl w:val="0"/>
        </w:rPr>
        <w:t xml:space="preserve"> yang mengembangkan standar dan protokol teknis yang membentuk peraturan internasional untuk AI, sering kali dengan mengorbankan kebutuhan yang berbeda dari negara berkembang.</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Lebih dari </w:t>
      </w:r>
      <w:hyperlink r:id="rId12">
        <w:r w:rsidDel="00000000" w:rsidR="00000000" w:rsidRPr="00000000">
          <w:rPr>
            <w:rFonts w:ascii="Lora" w:cs="Lora" w:eastAsia="Lora" w:hAnsi="Lora"/>
            <w:color w:val="0563c1"/>
            <w:sz w:val="24"/>
            <w:szCs w:val="24"/>
            <w:u w:val="single"/>
            <w:rtl w:val="0"/>
          </w:rPr>
          <w:t xml:space="preserve">160 kerangka kerja etika dan tata kelola AI</w:t>
        </w:r>
      </w:hyperlink>
      <w:r w:rsidDel="00000000" w:rsidR="00000000" w:rsidRPr="00000000">
        <w:rPr>
          <w:rFonts w:ascii="Lora" w:cs="Lora" w:eastAsia="Lora" w:hAnsi="Lora"/>
          <w:sz w:val="24"/>
          <w:szCs w:val="24"/>
          <w:rtl w:val="0"/>
        </w:rPr>
        <w:t xml:space="preserve"> sejauh ini telah dikembangkan oleh para pembuat kebijakan, lembaga pemikir, dan aktivis. Namun, belum ada platform untuk mengoordinasikan inisiatif-inisiatif ini, atau langkah-langkah untuk memastikan pemerintah nasional menyelaraskan peraturan dan norma-norma AI melintasi batas-batas internasional.</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Kesenjangan yang semakin meluas ini berimplikasi pada negara berkembang yang terpinggirkan oleh sektor AI yang sedang berkembang.</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Membangun basis data global untuk melacak dan memantau undang-undang dan peraturan AI yang sedang berkembang akan menangkap dan membandingkan pendekatan dan perdebatan, terutama dari negara berkembang. </w:t>
      </w:r>
      <w:hyperlink r:id="rId13">
        <w:r w:rsidDel="00000000" w:rsidR="00000000" w:rsidRPr="00000000">
          <w:rPr>
            <w:rFonts w:ascii="Lora" w:cs="Lora" w:eastAsia="Lora" w:hAnsi="Lora"/>
            <w:color w:val="0563c1"/>
            <w:sz w:val="24"/>
            <w:szCs w:val="24"/>
            <w:u w:val="single"/>
            <w:rtl w:val="0"/>
          </w:rPr>
          <w:t xml:space="preserve">Observatorium Kebijakan Kecerdasan Buatan OECD</w:t>
        </w:r>
      </w:hyperlink>
      <w:r w:rsidDel="00000000" w:rsidR="00000000" w:rsidRPr="00000000">
        <w:rPr>
          <w:rFonts w:ascii="Lora" w:cs="Lora" w:eastAsia="Lora" w:hAnsi="Lora"/>
          <w:sz w:val="24"/>
          <w:szCs w:val="24"/>
          <w:rtl w:val="0"/>
        </w:rPr>
        <w:t xml:space="preserve">, sebuah platform untuk diskusi kebijakan tentang AI, merupakan awal yang menjanjikan tetapi masih dapat dikembangkan.</w:t>
      </w:r>
    </w:p>
    <w:p w:rsidR="00000000" w:rsidDel="00000000" w:rsidP="00000000" w:rsidRDefault="00000000" w:rsidRPr="00000000" w14:paraId="0000001D">
      <w:pPr>
        <w:spacing w:after="240" w:before="240" w:line="240" w:lineRule="auto"/>
        <w:rPr>
          <w:rFonts w:ascii="Lora" w:cs="Lora" w:eastAsia="Lora" w:hAnsi="Lora"/>
          <w:sz w:val="24"/>
          <w:szCs w:val="24"/>
        </w:rPr>
      </w:pPr>
      <w:hyperlink r:id="rId14">
        <w:r w:rsidDel="00000000" w:rsidR="00000000" w:rsidRPr="00000000">
          <w:rPr>
            <w:rFonts w:ascii="Lora" w:cs="Lora" w:eastAsia="Lora" w:hAnsi="Lora"/>
            <w:color w:val="0563c1"/>
            <w:sz w:val="24"/>
            <w:szCs w:val="24"/>
            <w:u w:val="single"/>
            <w:rtl w:val="0"/>
          </w:rPr>
          <w:t xml:space="preserve">Laporan yang baru-baru ini dirilis</w:t>
        </w:r>
      </w:hyperlink>
      <w:r w:rsidDel="00000000" w:rsidR="00000000" w:rsidRPr="00000000">
        <w:rPr>
          <w:rFonts w:ascii="Lora" w:cs="Lora" w:eastAsia="Lora" w:hAnsi="Lora"/>
          <w:sz w:val="24"/>
          <w:szCs w:val="24"/>
          <w:rtl w:val="0"/>
        </w:rPr>
        <w:t xml:space="preserve"> dari kelompok kerja yang diselenggarakan oleh Paris Peace Forum mengatakan bahwa </w:t>
      </w:r>
      <w:hyperlink r:id="rId15">
        <w:r w:rsidDel="00000000" w:rsidR="00000000" w:rsidRPr="00000000">
          <w:rPr>
            <w:rFonts w:ascii="Lora" w:cs="Lora" w:eastAsia="Lora" w:hAnsi="Lora"/>
            <w:color w:val="0563c1"/>
            <w:sz w:val="24"/>
            <w:szCs w:val="24"/>
            <w:u w:val="single"/>
            <w:rtl w:val="0"/>
          </w:rPr>
          <w:t xml:space="preserve">dialog internasional yang terbuka tentang tata kelola AI yang adil</w:t>
        </w:r>
      </w:hyperlink>
      <w:r w:rsidDel="00000000" w:rsidR="00000000" w:rsidRPr="00000000">
        <w:rPr>
          <w:rFonts w:ascii="Lora" w:cs="Lora" w:eastAsia="Lora" w:hAnsi="Lora"/>
          <w:sz w:val="24"/>
          <w:szCs w:val="24"/>
          <w:rtl w:val="0"/>
        </w:rPr>
        <w:t xml:space="preserve"> dapat membantu membuat peraturan global. Hal ini akan mempertimbangkan hak asasi manusia dan kesempatan yang sama yang relevan dengan kebutuhan negara berkembang. Serta mengatasi ketimpangan sosial ekonomi yang meningkat pesat, memenuhi tantangan pembangunan berkelanjutan sembari mencapai pertumbuhan ekonomi yang kuat, dan membongkar struktur kolonialisme yang langgeng.</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Dialog ini bertujuan untuk menghasilkan seperangkat prinsip-prinsip AI universal yang dikembangkan melalui proses internasional yang transparan, terinformasi, dan diakui secara luas. Prinsip-prinsip tersebut dapat berperan sebagai titik acuan untuk kebijakan dan legislasi di seluruh konteks nasional dan pada akhirnya diterjemahkan ke dalam standar yang dapat ditegakkan.</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Sebagai contoh, pemerintah di negara berkembang perlu memastikan akuntabilitas perusahaan ketika mereka melakukan pengadaan layanan berbasis AI. Analisis risiko penilaian dampak sosial wajib untuk setiap layanan AI yang ditawarkan oleh perusahaan asing adalah </w:t>
      </w:r>
      <w:hyperlink r:id="rId16">
        <w:r w:rsidDel="00000000" w:rsidR="00000000" w:rsidRPr="00000000">
          <w:rPr>
            <w:rFonts w:ascii="Lora" w:cs="Lora" w:eastAsia="Lora" w:hAnsi="Lora"/>
            <w:color w:val="0563c1"/>
            <w:sz w:val="24"/>
            <w:szCs w:val="24"/>
            <w:u w:val="single"/>
            <w:rtl w:val="0"/>
          </w:rPr>
          <w:t xml:space="preserve">salah satu solusinya</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Pendekatan semacam itu, termasuk pengungkapan kode sumber wajib, dapat memotivasi kepatuhan terhadap hukum domestik dan melindungi hak-hak sekaligus mencegah penyalahgunaan pasar. Ketika kode sumber dapat diakses oleh publik - dan terutama oleh pengembang yang waspada - pemilik platform cenderung tidak mendukung desain yang mengizinkan atau mengambil untung dari kegiatan ilegal.</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Pemerintah negara berkembang dapat memperbaiki ketidakseimbangan yang semakin melebar antara penyedia data dan pengumpul data dengan menciptakan insentif bagi perusahaan teknologi asing untuk berinvestasi di fasilitas penelitian dan pengembangan dalam negeri untuk memperkuat kemampuan AI lokal.</w:t>
      </w:r>
    </w:p>
    <w:p w:rsidR="00000000" w:rsidDel="00000000" w:rsidP="00000000" w:rsidRDefault="00000000" w:rsidRPr="00000000" w14:paraId="0000002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Penting juga untuk </w:t>
      </w:r>
      <w:hyperlink r:id="rId17">
        <w:r w:rsidDel="00000000" w:rsidR="00000000" w:rsidRPr="00000000">
          <w:rPr>
            <w:rFonts w:ascii="Lora" w:cs="Lora" w:eastAsia="Lora" w:hAnsi="Lora"/>
            <w:color w:val="0563c1"/>
            <w:sz w:val="24"/>
            <w:szCs w:val="24"/>
            <w:u w:val="single"/>
            <w:rtl w:val="0"/>
          </w:rPr>
          <w:t xml:space="preserve">mencegah 'brain drain'</w:t>
        </w:r>
      </w:hyperlink>
      <w:r w:rsidDel="00000000" w:rsidR="00000000" w:rsidRPr="00000000">
        <w:rPr>
          <w:rFonts w:ascii="Lora" w:cs="Lora" w:eastAsia="Lora" w:hAnsi="Lora"/>
          <w:sz w:val="24"/>
          <w:szCs w:val="24"/>
          <w:rtl w:val="0"/>
        </w:rPr>
        <w:t xml:space="preserve">, di mana para ahli terbaik meninggalkan rumah mereka untuk mengejar peluang internasional, dengan mempromosikan insentif seperti dana untuk inovasi dan R&amp;D untuk mempertahankan dan mengembangkan lebih lanjut talenta dalam negeri. Dalam ekonomi AI yang sedang berkembang, eksodus mungkin terbukti sangat merugikan dalam memperburuk ketidakseimbangan keuangan antara negara maju dan negara berkembang.</w:t>
      </w:r>
    </w:p>
    <w:p w:rsidR="00000000" w:rsidDel="00000000" w:rsidP="00000000" w:rsidRDefault="00000000" w:rsidRPr="00000000" w14:paraId="0000002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Manfaat AI memang banyak, namun mengurangi potensi kerugiannya sangatlah krusial. Dialog internasional yang berfokus pada hasil dapat menciptakan distribusi teknologi AI yang adil.</w:t>
      </w:r>
    </w:p>
    <w:p w:rsidR="00000000" w:rsidDel="00000000" w:rsidP="00000000" w:rsidRDefault="00000000" w:rsidRPr="00000000" w14:paraId="0000002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Merih Angin adalah Asisten Profesor Hubungan Internasional &amp; Direktur MA-Computational Social Sciences Lab di Koç University. Dia bekerja di bidang pembangunan internasional, ilmu sosial komputasi, dan tata kelola kecerdasan buatan. Dr. Angin mengetuai proyek 'Initiate: Hak-hak Digital dalam Tata Kelola Algoritmik Masyarakat', yang diselenggarakan oleh Forum Perdamaian Paris.</w:t>
      </w:r>
    </w:p>
    <w:p w:rsidR="00000000" w:rsidDel="00000000" w:rsidP="00000000" w:rsidRDefault="00000000" w:rsidRPr="00000000" w14:paraId="0000002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Jack Loveridge adalah Research Associate di Pusat Globalisasi, Perdamaian, dan Tata Kelola Demokratis (GLODEM) Universitas Koç. Ia juga merupakan salah satu pendiri Initiate: Hak-hak Digital dalam Masyarakat dan Penasihat Kebijakan Senior untuk Forum Perdamaian Paris tentang masalah tata kelola algoritmik. Dr. Loveridge mengetuai bersama 'Initiate: Hak Digital dalam Tata Kelola Algoritmik Masyarakat', yang diselenggarakan oleh Forum Perdamaian Paris.</w:t>
      </w:r>
    </w:p>
    <w:p w:rsidR="00000000" w:rsidDel="00000000" w:rsidP="00000000" w:rsidRDefault="00000000" w:rsidRPr="00000000" w14:paraId="0000002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Kelompok Kerja ini didukung oleh hibah dari Luminate. Para penulis menyatakan tidak ada konflik kepentingan.</w:t>
      </w:r>
    </w:p>
    <w:p w:rsidR="00000000" w:rsidDel="00000000" w:rsidP="00000000" w:rsidRDefault="00000000" w:rsidRPr="00000000" w14:paraId="0000002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Artikel ini dipublikasikan di bawah </w:t>
      </w:r>
      <w:hyperlink r:id="rId18">
        <w:r w:rsidDel="00000000" w:rsidR="00000000" w:rsidRPr="00000000">
          <w:rPr>
            <w:rFonts w:ascii="Lora" w:cs="Lora" w:eastAsia="Lora" w:hAnsi="Lora"/>
            <w:color w:val="1155cc"/>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19">
        <w:r w:rsidDel="00000000" w:rsidR="00000000" w:rsidRPr="00000000">
          <w:rPr>
            <w:rFonts w:ascii="Lora" w:cs="Lora" w:eastAsia="Lora" w:hAnsi="Lora"/>
            <w:color w:val="1155cc"/>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8">
      <w:pPr>
        <w:rPr/>
      </w:pPr>
      <w:r w:rsidDel="00000000" w:rsidR="00000000" w:rsidRPr="00000000">
        <w:rPr>
          <w:rFonts w:ascii="Lora" w:cs="Lora" w:eastAsia="Lora" w:hAnsi="Lora"/>
          <w:sz w:val="24"/>
          <w:szCs w:val="24"/>
          <w:rtl w:val="0"/>
        </w:rPr>
        <w:t xml:space="preserve">Artikel ini sudah terbit dalam </w:t>
      </w:r>
      <w:hyperlink r:id="rId20">
        <w:r w:rsidDel="00000000" w:rsidR="00000000" w:rsidRPr="00000000">
          <w:rPr>
            <w:rFonts w:ascii="Lora" w:cs="Lora" w:eastAsia="Lora" w:hAnsi="Lora"/>
            <w:color w:val="0563c1"/>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16 Mei 2022 di </w:t>
      </w:r>
      <w:hyperlink r:id="rId21">
        <w:r w:rsidDel="00000000" w:rsidR="00000000" w:rsidRPr="00000000">
          <w:rPr>
            <w:rFonts w:ascii="Lora" w:cs="Lora" w:eastAsia="Lora" w:hAnsi="Lora"/>
            <w:color w:val="0563c1"/>
            <w:sz w:val="24"/>
            <w:szCs w:val="24"/>
            <w:u w:val="single"/>
            <w:rtl w:val="0"/>
          </w:rPr>
          <w:t xml:space="preserve">360info.org</w:t>
        </w:r>
      </w:hyperlink>
      <w:r w:rsidDel="00000000" w:rsidR="00000000" w:rsidRPr="00000000">
        <w:rPr>
          <w:rFonts w:ascii="Lora" w:cs="Lora" w:eastAsia="Lora" w:hAnsi="Lora"/>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360info.org/developing-economies-risk-exclusion-as-age-of-ai-dawns/" TargetMode="External"/><Relationship Id="rId11" Type="http://schemas.openxmlformats.org/officeDocument/2006/relationships/hyperlink" Target="https://www.technologyreview.com/2020/09/14/1008323/ai-ethics-representation-artificial-intelligence-opinion" TargetMode="External"/><Relationship Id="rId10" Type="http://schemas.openxmlformats.org/officeDocument/2006/relationships/hyperlink" Target="https://doi.org/10.1080/14494035.2021.1929728" TargetMode="External"/><Relationship Id="rId21" Type="http://schemas.openxmlformats.org/officeDocument/2006/relationships/hyperlink" Target="https://360info.org/" TargetMode="External"/><Relationship Id="rId13" Type="http://schemas.openxmlformats.org/officeDocument/2006/relationships/hyperlink" Target="https://oecd.ai/en/" TargetMode="External"/><Relationship Id="rId12" Type="http://schemas.openxmlformats.org/officeDocument/2006/relationships/hyperlink" Target="https://doi.org/10.1080/14494035.2021.19297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ctad.org/webflyer/digital-economy-report-2021" TargetMode="External"/><Relationship Id="rId15" Type="http://schemas.openxmlformats.org/officeDocument/2006/relationships/hyperlink" Target="https://digitalrights.ai/report/working-group-recommendations-for-a-less-fragmented-ai-policy-landscape/" TargetMode="External"/><Relationship Id="rId14" Type="http://schemas.openxmlformats.org/officeDocument/2006/relationships/hyperlink" Target="https://digitalrights.ai/report/" TargetMode="External"/><Relationship Id="rId17" Type="http://schemas.openxmlformats.org/officeDocument/2006/relationships/hyperlink" Target="https://doi.org/10.3390/su13063195" TargetMode="External"/><Relationship Id="rId16" Type="http://schemas.openxmlformats.org/officeDocument/2006/relationships/hyperlink" Target="https://digitalrights.ai/report/" TargetMode="External"/><Relationship Id="rId5" Type="http://schemas.openxmlformats.org/officeDocument/2006/relationships/styles" Target="styles.xml"/><Relationship Id="rId19" Type="http://schemas.openxmlformats.org/officeDocument/2006/relationships/hyperlink" Target="https://360info.org/" TargetMode="External"/><Relationship Id="rId6" Type="http://schemas.openxmlformats.org/officeDocument/2006/relationships/image" Target="media/image1.png"/><Relationship Id="rId18" Type="http://schemas.openxmlformats.org/officeDocument/2006/relationships/hyperlink" Target="https://creativecommons.org/licenses/by/4.0/" TargetMode="External"/><Relationship Id="rId7" Type="http://schemas.openxmlformats.org/officeDocument/2006/relationships/hyperlink" Target="https://apo.org.au/node/113101" TargetMode="External"/><Relationship Id="rId8" Type="http://schemas.openxmlformats.org/officeDocument/2006/relationships/hyperlink" Target="https://unctad.org/system/files/official-document/der2021_overview_en_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